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材料与物理学院高质量代表作</w:t>
      </w:r>
      <w:r>
        <w:rPr>
          <w:rFonts w:ascii="Times New Roman" w:hAnsi="Times New Roman" w:eastAsia="宋体" w:cs="Times New Roman"/>
          <w:b/>
          <w:bCs/>
          <w:sz w:val="32"/>
          <w:szCs w:val="32"/>
        </w:rPr>
        <w:t>推荐</w:t>
      </w:r>
      <w:r>
        <w:rPr>
          <w:rFonts w:hint="eastAsia" w:ascii="Times New Roman" w:hAnsi="Times New Roman" w:eastAsia="宋体" w:cs="Times New Roman"/>
          <w:b/>
          <w:bCs/>
          <w:sz w:val="32"/>
          <w:szCs w:val="32"/>
        </w:rPr>
        <w:t>基本原</w:t>
      </w:r>
      <w:r>
        <w:rPr>
          <w:rFonts w:ascii="Times New Roman" w:hAnsi="Times New Roman" w:eastAsia="宋体" w:cs="Times New Roman"/>
          <w:b/>
          <w:bCs/>
          <w:sz w:val="32"/>
          <w:szCs w:val="32"/>
        </w:rPr>
        <w:t>则</w:t>
      </w: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按照科研（2022）第62号《关于开展高水平科研成果和高质量代表作奖励工作有关事项的通知》，根据人力资源部、学科处《关于高水平成果发放工作的通知》要求，以一级学科遴选年度高质量代表作。基本要求：①高质量代表作仅奖励第一作者单位及第一署名单位均为中国矿业大学（</w:t>
      </w:r>
      <w:r>
        <w:rPr>
          <w:rFonts w:ascii="Times New Roman" w:hAnsi="Times New Roman" w:eastAsia="仿宋" w:cs="Times New Roman"/>
          <w:color w:val="333333"/>
          <w:sz w:val="28"/>
          <w:szCs w:val="28"/>
          <w:shd w:val="clear" w:color="auto" w:fill="FFFFFF"/>
        </w:rPr>
        <w:t>China University of Mining &amp; Technology</w:t>
      </w:r>
      <w:r>
        <w:rPr>
          <w:rFonts w:hint="eastAsia" w:ascii="仿宋" w:hAnsi="仿宋" w:eastAsia="仿宋" w:cs="仿宋"/>
          <w:color w:val="333333"/>
          <w:sz w:val="28"/>
          <w:szCs w:val="28"/>
          <w:shd w:val="clear" w:color="auto" w:fill="FFFFFF"/>
        </w:rPr>
        <w:t>），教师署名为第一作者或通讯作者的</w:t>
      </w:r>
      <w:r>
        <w:rPr>
          <w:rFonts w:hint="eastAsia" w:ascii="仿宋" w:hAnsi="仿宋" w:eastAsia="仿宋" w:cs="仿宋"/>
          <w:b/>
          <w:bCs/>
          <w:color w:val="333333"/>
          <w:sz w:val="28"/>
          <w:szCs w:val="28"/>
          <w:shd w:val="clear" w:color="auto" w:fill="FFFFFF"/>
        </w:rPr>
        <w:t>研究类论文</w:t>
      </w:r>
      <w:r>
        <w:rPr>
          <w:rFonts w:hint="eastAsia" w:ascii="仿宋" w:hAnsi="仿宋" w:eastAsia="仿宋" w:cs="仿宋"/>
          <w:color w:val="333333"/>
          <w:sz w:val="28"/>
          <w:szCs w:val="28"/>
          <w:shd w:val="clear" w:color="auto" w:fill="FFFFFF"/>
        </w:rPr>
        <w:t>；②高质量代表作由各一级学科推荐，一级学科硕士点每年各推荐不超过10篇高质量代表作；③教师的高质量代表作仅能从其所在的一级学科推荐，一级学科涵盖期刊应具体到“中国科学院文献情报中心期刊分区表-2022年升级版”中期刊“大类及分区”优先。基于此，以更好地推进学科建设与发展为导向，本着宁缺毋滥的原则（申报论文在相应学科分区应不低于J</w:t>
      </w:r>
      <w:r>
        <w:rPr>
          <w:rFonts w:ascii="仿宋" w:hAnsi="仿宋" w:eastAsia="仿宋" w:cs="仿宋"/>
          <w:color w:val="333333"/>
          <w:sz w:val="28"/>
          <w:szCs w:val="28"/>
          <w:shd w:val="clear" w:color="auto" w:fill="FFFFFF"/>
        </w:rPr>
        <w:t>CR</w:t>
      </w:r>
      <w:r>
        <w:rPr>
          <w:rFonts w:hint="eastAsia" w:ascii="仿宋" w:hAnsi="仿宋" w:eastAsia="仿宋" w:cs="仿宋"/>
          <w:color w:val="333333"/>
          <w:sz w:val="28"/>
          <w:szCs w:val="28"/>
          <w:shd w:val="clear" w:color="auto" w:fill="FFFFFF"/>
        </w:rPr>
        <w:t>二区），并确定以下基本推荐原则：</w:t>
      </w: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一、坚持支撑学科发展原则。推荐论文应对于学科建设和评估具有高度的支撑力度。在材料或物理一级学科相关领域发表高水平研究论文的非我院老师来我院相应学科参评的，应与我院签订论文优先使用承诺书，须承诺在学科建设或学科评估时，该学科可无条件使用此论文或成果。</w:t>
      </w: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二、坚持学术公认、按层次优先推荐原则。按以下层次顺序推荐，直到名额用完。</w:t>
      </w: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w:t>
      </w:r>
      <w:r>
        <w:rPr>
          <w:rFonts w:ascii="Times New Roman" w:hAnsi="Times New Roman" w:eastAsia="仿宋" w:cs="Times New Roman"/>
          <w:color w:val="333333"/>
          <w:sz w:val="28"/>
          <w:szCs w:val="28"/>
          <w:shd w:val="clear" w:color="auto" w:fill="FFFFFF"/>
        </w:rPr>
        <w:t>在Nature、Science及其冠名子刊、Advanced Materials、Physical Review Letters</w:t>
      </w:r>
      <w:r>
        <w:rPr>
          <w:rFonts w:hint="eastAsia" w:ascii="Times New Roman" w:hAnsi="Times New Roman" w:eastAsia="仿宋" w:cs="Times New Roman"/>
          <w:color w:val="333333"/>
          <w:sz w:val="28"/>
          <w:szCs w:val="28"/>
          <w:shd w:val="clear" w:color="auto" w:fill="FFFFFF"/>
        </w:rPr>
        <w:t>、</w:t>
      </w:r>
      <w:r>
        <w:rPr>
          <w:rFonts w:ascii="Times New Roman" w:hAnsi="Times New Roman" w:eastAsia="仿宋" w:cs="Times New Roman"/>
          <w:color w:val="333333"/>
          <w:sz w:val="28"/>
          <w:szCs w:val="28"/>
          <w:shd w:val="clear" w:color="auto" w:fill="FFFFFF"/>
        </w:rPr>
        <w:t>Acta Materialia</w:t>
      </w:r>
      <w:r>
        <w:rPr>
          <w:rFonts w:hint="eastAsia" w:ascii="Times New Roman" w:hAnsi="Times New Roman" w:eastAsia="仿宋" w:cs="Times New Roman"/>
          <w:color w:val="333333"/>
          <w:sz w:val="28"/>
          <w:szCs w:val="28"/>
          <w:shd w:val="clear" w:color="auto" w:fill="FFFFFF"/>
        </w:rPr>
        <w:t>、P</w:t>
      </w:r>
      <w:r>
        <w:rPr>
          <w:rFonts w:ascii="Times New Roman" w:hAnsi="Times New Roman" w:eastAsia="仿宋" w:cs="Times New Roman"/>
          <w:color w:val="333333"/>
          <w:sz w:val="28"/>
          <w:szCs w:val="28"/>
          <w:shd w:val="clear" w:color="auto" w:fill="FFFFFF"/>
        </w:rPr>
        <w:t>hysical Review X</w:t>
      </w:r>
      <w:r>
        <w:rPr>
          <w:rFonts w:ascii="仿宋" w:hAnsi="仿宋" w:eastAsia="仿宋" w:cs="仿宋"/>
          <w:color w:val="333333"/>
          <w:sz w:val="28"/>
          <w:szCs w:val="28"/>
          <w:shd w:val="clear" w:color="auto" w:fill="FFFFFF"/>
        </w:rPr>
        <w:t>等高水平期刊发表</w:t>
      </w:r>
      <w:r>
        <w:rPr>
          <w:rFonts w:hint="eastAsia" w:ascii="仿宋" w:hAnsi="仿宋" w:eastAsia="仿宋" w:cs="仿宋"/>
          <w:color w:val="333333"/>
          <w:sz w:val="28"/>
          <w:szCs w:val="28"/>
          <w:shd w:val="clear" w:color="auto" w:fill="FFFFFF"/>
        </w:rPr>
        <w:t>的</w:t>
      </w:r>
      <w:r>
        <w:rPr>
          <w:rFonts w:ascii="仿宋" w:hAnsi="仿宋" w:eastAsia="仿宋" w:cs="仿宋"/>
          <w:color w:val="333333"/>
          <w:sz w:val="28"/>
          <w:szCs w:val="28"/>
          <w:shd w:val="clear" w:color="auto" w:fill="FFFFFF"/>
        </w:rPr>
        <w:t>研究论文</w:t>
      </w:r>
      <w:r>
        <w:rPr>
          <w:rFonts w:hint="eastAsia" w:ascii="仿宋" w:hAnsi="仿宋" w:eastAsia="仿宋" w:cs="仿宋"/>
          <w:color w:val="333333"/>
          <w:sz w:val="28"/>
          <w:szCs w:val="28"/>
          <w:shd w:val="clear" w:color="auto" w:fill="FFFFFF"/>
        </w:rPr>
        <w:t>具有最优先被推荐资格，如某学科该类论文总数量超过1</w:t>
      </w:r>
      <w:r>
        <w:rPr>
          <w:rFonts w:ascii="仿宋" w:hAnsi="仿宋" w:eastAsia="仿宋" w:cs="仿宋"/>
          <w:color w:val="333333"/>
          <w:sz w:val="28"/>
          <w:szCs w:val="28"/>
          <w:shd w:val="clear" w:color="auto" w:fill="FFFFFF"/>
        </w:rPr>
        <w:t>0</w:t>
      </w:r>
      <w:r>
        <w:rPr>
          <w:rFonts w:hint="eastAsia" w:ascii="仿宋" w:hAnsi="仿宋" w:eastAsia="仿宋" w:cs="仿宋"/>
          <w:color w:val="333333"/>
          <w:sz w:val="28"/>
          <w:szCs w:val="28"/>
          <w:shd w:val="clear" w:color="auto" w:fill="FFFFFF"/>
        </w:rPr>
        <w:t>篇，以发表时间排序，超过篇数将由学院兑现同等奖励，并且每人推荐篇数不限。</w:t>
      </w:r>
    </w:p>
    <w:p>
      <w:pPr>
        <w:spacing w:line="324" w:lineRule="auto"/>
        <w:ind w:firstLine="560" w:firstLineChars="200"/>
        <w:rPr>
          <w:rFonts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2.</w:t>
      </w:r>
      <w:r>
        <w:rPr>
          <w:rFonts w:hint="eastAsia" w:ascii="仿宋" w:hAnsi="仿宋" w:eastAsia="仿宋" w:cs="仿宋"/>
          <w:color w:val="333333"/>
          <w:sz w:val="28"/>
          <w:szCs w:val="28"/>
          <w:shd w:val="clear" w:color="auto" w:fill="FFFFFF"/>
        </w:rPr>
        <w:t>申报论文在申报年度内入选相应学科E</w:t>
      </w:r>
      <w:r>
        <w:rPr>
          <w:rFonts w:ascii="仿宋" w:hAnsi="仿宋" w:eastAsia="仿宋" w:cs="仿宋"/>
          <w:color w:val="333333"/>
          <w:sz w:val="28"/>
          <w:szCs w:val="28"/>
          <w:shd w:val="clear" w:color="auto" w:fill="FFFFFF"/>
        </w:rPr>
        <w:t>SI</w:t>
      </w:r>
      <w:r>
        <w:rPr>
          <w:rFonts w:hint="eastAsia" w:ascii="仿宋" w:hAnsi="仿宋" w:eastAsia="仿宋" w:cs="仿宋"/>
          <w:color w:val="333333"/>
          <w:sz w:val="28"/>
          <w:szCs w:val="28"/>
          <w:shd w:val="clear" w:color="auto" w:fill="FFFFFF"/>
        </w:rPr>
        <w:t>高被引论文，具有第二优先被推荐资格；</w:t>
      </w: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3</w:t>
      </w:r>
      <w:r>
        <w:rPr>
          <w:rFonts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rPr>
        <w:t>申报论文在相应学科</w:t>
      </w:r>
      <w:r>
        <w:rPr>
          <w:rFonts w:ascii="仿宋" w:hAnsi="仿宋" w:eastAsia="仿宋" w:cs="仿宋"/>
          <w:color w:val="333333"/>
          <w:sz w:val="28"/>
          <w:szCs w:val="28"/>
          <w:shd w:val="clear" w:color="auto" w:fill="FFFFFF"/>
        </w:rPr>
        <w:t>JCR</w:t>
      </w:r>
      <w:r>
        <w:rPr>
          <w:rFonts w:hint="eastAsia" w:ascii="仿宋" w:hAnsi="仿宋" w:eastAsia="仿宋" w:cs="仿宋"/>
          <w:color w:val="333333"/>
          <w:sz w:val="28"/>
          <w:szCs w:val="28"/>
          <w:shd w:val="clear" w:color="auto" w:fill="FFFFFF"/>
        </w:rPr>
        <w:t>分区及中科院分区升级版均位列一区，具有第三优先被推荐资格（对物理学科发展具有高度支撑力度的</w:t>
      </w:r>
      <w:r>
        <w:rPr>
          <w:rFonts w:ascii="Times New Roman" w:hAnsi="Times New Roman" w:eastAsia="仿宋" w:cs="Times New Roman"/>
          <w:color w:val="333333"/>
          <w:sz w:val="28"/>
          <w:szCs w:val="28"/>
          <w:shd w:val="clear" w:color="auto" w:fill="FFFFFF"/>
        </w:rPr>
        <w:t>PR</w:t>
      </w:r>
      <w:r>
        <w:rPr>
          <w:rFonts w:hint="eastAsia" w:ascii="仿宋" w:hAnsi="仿宋" w:eastAsia="仿宋" w:cs="仿宋"/>
          <w:color w:val="333333"/>
          <w:sz w:val="28"/>
          <w:szCs w:val="28"/>
          <w:shd w:val="clear" w:color="auto" w:fill="FFFFFF"/>
        </w:rPr>
        <w:t>系列、</w:t>
      </w:r>
      <w:r>
        <w:rPr>
          <w:rFonts w:ascii="Times New Roman" w:hAnsi="Times New Roman" w:eastAsia="仿宋" w:cs="Times New Roman"/>
          <w:color w:val="333333"/>
          <w:sz w:val="28"/>
          <w:szCs w:val="28"/>
          <w:shd w:val="clear" w:color="auto" w:fill="FFFFFF"/>
        </w:rPr>
        <w:t>New Journal of Physics</w:t>
      </w:r>
      <w:r>
        <w:rPr>
          <w:rFonts w:hint="eastAsia" w:ascii="仿宋" w:hAnsi="仿宋" w:eastAsia="仿宋" w:cs="仿宋"/>
          <w:color w:val="333333"/>
          <w:sz w:val="28"/>
          <w:szCs w:val="28"/>
          <w:shd w:val="clear" w:color="auto" w:fill="FFFFFF"/>
        </w:rPr>
        <w:t>及</w:t>
      </w:r>
      <w:r>
        <w:rPr>
          <w:rFonts w:ascii="Times New Roman" w:hAnsi="Times New Roman" w:eastAsia="仿宋" w:cs="Times New Roman"/>
          <w:color w:val="333333"/>
          <w:sz w:val="28"/>
          <w:szCs w:val="28"/>
          <w:shd w:val="clear" w:color="auto" w:fill="FFFFFF"/>
        </w:rPr>
        <w:t xml:space="preserve">Optics Letters </w:t>
      </w:r>
      <w:r>
        <w:rPr>
          <w:rFonts w:hint="eastAsia" w:ascii="仿宋" w:hAnsi="仿宋" w:eastAsia="仿宋" w:cs="仿宋"/>
          <w:color w:val="333333"/>
          <w:sz w:val="28"/>
          <w:szCs w:val="28"/>
          <w:shd w:val="clear" w:color="auto" w:fill="FFFFFF"/>
        </w:rPr>
        <w:t>等同为物理学科双</w:t>
      </w:r>
      <w:bookmarkStart w:id="3" w:name="_GoBack"/>
      <w:bookmarkEnd w:id="3"/>
      <w:r>
        <w:rPr>
          <w:rFonts w:hint="eastAsia" w:ascii="仿宋" w:hAnsi="仿宋" w:eastAsia="仿宋" w:cs="仿宋"/>
          <w:color w:val="333333"/>
          <w:sz w:val="28"/>
          <w:szCs w:val="28"/>
          <w:shd w:val="clear" w:color="auto" w:fill="FFFFFF"/>
        </w:rPr>
        <w:t>一区期刊，并且每人限报不超过</w:t>
      </w:r>
      <w:r>
        <w:rPr>
          <w:rFonts w:ascii="仿宋" w:hAnsi="仿宋" w:eastAsia="仿宋" w:cs="仿宋"/>
          <w:color w:val="333333"/>
          <w:sz w:val="28"/>
          <w:szCs w:val="28"/>
          <w:shd w:val="clear" w:color="auto" w:fill="FFFFFF"/>
        </w:rPr>
        <w:t>2</w:t>
      </w:r>
      <w:r>
        <w:rPr>
          <w:rFonts w:hint="eastAsia" w:ascii="仿宋" w:hAnsi="仿宋" w:eastAsia="仿宋" w:cs="仿宋"/>
          <w:color w:val="333333"/>
          <w:sz w:val="28"/>
          <w:szCs w:val="28"/>
          <w:shd w:val="clear" w:color="auto" w:fill="FFFFFF"/>
        </w:rPr>
        <w:t>篇）；</w:t>
      </w:r>
    </w:p>
    <w:p>
      <w:pPr>
        <w:spacing w:line="324" w:lineRule="auto"/>
        <w:ind w:firstLine="560" w:firstLineChars="200"/>
        <w:rPr>
          <w:rFonts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4</w:t>
      </w:r>
      <w:r>
        <w:rPr>
          <w:rFonts w:hint="eastAsia" w:ascii="仿宋" w:hAnsi="仿宋" w:eastAsia="仿宋" w:cs="仿宋"/>
          <w:color w:val="333333"/>
          <w:sz w:val="28"/>
          <w:szCs w:val="28"/>
          <w:shd w:val="clear" w:color="auto" w:fill="FFFFFF"/>
        </w:rPr>
        <w:t>.对于非本学科领域但特别优秀的论文（材料学科影响因子2</w:t>
      </w:r>
      <w:r>
        <w:rPr>
          <w:rFonts w:ascii="仿宋" w:hAnsi="仿宋" w:eastAsia="仿宋" w:cs="仿宋"/>
          <w:color w:val="333333"/>
          <w:sz w:val="28"/>
          <w:szCs w:val="28"/>
          <w:shd w:val="clear" w:color="auto" w:fill="FFFFFF"/>
        </w:rPr>
        <w:t>0</w:t>
      </w:r>
      <w:r>
        <w:rPr>
          <w:rFonts w:hint="eastAsia" w:ascii="仿宋" w:hAnsi="仿宋" w:eastAsia="仿宋" w:cs="仿宋"/>
          <w:color w:val="333333"/>
          <w:sz w:val="28"/>
          <w:szCs w:val="28"/>
          <w:shd w:val="clear" w:color="auto" w:fill="FFFFFF"/>
        </w:rPr>
        <w:t>以上；物理学科影响因子</w:t>
      </w:r>
      <w:r>
        <w:rPr>
          <w:rFonts w:ascii="仿宋" w:hAnsi="仿宋" w:eastAsia="仿宋" w:cs="仿宋"/>
          <w:color w:val="333333"/>
          <w:sz w:val="28"/>
          <w:szCs w:val="28"/>
          <w:shd w:val="clear" w:color="auto" w:fill="FFFFFF"/>
        </w:rPr>
        <w:t>10</w:t>
      </w:r>
      <w:r>
        <w:rPr>
          <w:rFonts w:hint="eastAsia" w:ascii="仿宋" w:hAnsi="仿宋" w:eastAsia="仿宋" w:cs="仿宋"/>
          <w:color w:val="333333"/>
          <w:sz w:val="28"/>
          <w:szCs w:val="28"/>
          <w:shd w:val="clear" w:color="auto" w:fill="FFFFFF"/>
        </w:rPr>
        <w:t>以上），并且对本学科建设或发展有促进作用（</w:t>
      </w:r>
      <w:r>
        <w:rPr>
          <w:rFonts w:hint="eastAsia" w:ascii="仿宋" w:hAnsi="仿宋" w:eastAsia="仿宋" w:cs="仿宋"/>
          <w:b/>
          <w:bCs/>
          <w:color w:val="333333"/>
          <w:sz w:val="28"/>
          <w:szCs w:val="28"/>
          <w:shd w:val="clear" w:color="auto" w:fill="FFFFFF"/>
        </w:rPr>
        <w:t>如符合学科优先发展方向</w:t>
      </w:r>
      <w:r>
        <w:rPr>
          <w:rFonts w:hint="eastAsia" w:ascii="仿宋" w:hAnsi="仿宋" w:eastAsia="仿宋" w:cs="仿宋"/>
          <w:color w:val="333333"/>
          <w:sz w:val="28"/>
          <w:szCs w:val="28"/>
          <w:shd w:val="clear" w:color="auto" w:fill="FFFFFF"/>
        </w:rPr>
        <w:t>）的，可推荐不超过1篇，其推荐资格等同于JCR和中科院双一区论文；</w:t>
      </w:r>
    </w:p>
    <w:p>
      <w:pPr>
        <w:spacing w:line="324" w:lineRule="auto"/>
        <w:ind w:firstLine="560" w:firstLineChars="200"/>
        <w:rPr>
          <w:rFonts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5</w:t>
      </w:r>
      <w:r>
        <w:rPr>
          <w:rFonts w:hint="eastAsia" w:ascii="仿宋" w:hAnsi="仿宋" w:eastAsia="仿宋" w:cs="仿宋"/>
          <w:color w:val="333333"/>
          <w:sz w:val="28"/>
          <w:szCs w:val="28"/>
          <w:shd w:val="clear" w:color="auto" w:fill="FFFFFF"/>
        </w:rPr>
        <w:t>.申报论文在相应学科JCR分区或中科院分区升级版位列一区的具有第四优先被推荐资格；</w:t>
      </w:r>
    </w:p>
    <w:p>
      <w:pPr>
        <w:spacing w:line="324" w:lineRule="auto"/>
        <w:ind w:firstLine="560" w:firstLineChars="200"/>
        <w:rPr>
          <w:rFonts w:ascii="仿宋" w:hAnsi="仿宋" w:eastAsia="仿宋" w:cs="仿宋"/>
          <w:color w:val="333333"/>
          <w:sz w:val="28"/>
          <w:szCs w:val="28"/>
          <w:shd w:val="clear" w:color="auto" w:fill="FFFFFF"/>
        </w:rPr>
      </w:pPr>
      <w:bookmarkStart w:id="0" w:name="_Hlk153610941"/>
      <w:r>
        <w:rPr>
          <w:rFonts w:ascii="仿宋" w:hAnsi="仿宋" w:eastAsia="仿宋" w:cs="仿宋"/>
          <w:color w:val="333333"/>
          <w:sz w:val="28"/>
          <w:szCs w:val="28"/>
          <w:shd w:val="clear" w:color="auto" w:fill="FFFFFF"/>
        </w:rPr>
        <w:t>6</w:t>
      </w:r>
      <w:r>
        <w:rPr>
          <w:rFonts w:hint="eastAsia" w:ascii="仿宋" w:hAnsi="仿宋" w:eastAsia="仿宋" w:cs="仿宋"/>
          <w:color w:val="333333"/>
          <w:sz w:val="28"/>
          <w:szCs w:val="28"/>
          <w:shd w:val="clear" w:color="auto" w:fill="FFFFFF"/>
        </w:rPr>
        <w:t>.申报论文位于同一分区，</w:t>
      </w:r>
      <w:bookmarkEnd w:id="0"/>
      <w:r>
        <w:rPr>
          <w:rFonts w:hint="eastAsia" w:ascii="仿宋" w:hAnsi="仿宋" w:eastAsia="仿宋" w:cs="仿宋"/>
          <w:color w:val="333333"/>
          <w:sz w:val="28"/>
          <w:szCs w:val="28"/>
          <w:shd w:val="clear" w:color="auto" w:fill="FFFFFF"/>
        </w:rPr>
        <w:t>将按照影响因子从高到低确定推荐顺序；如果影响因子相同情况下：唯一通讯单位及唯一通讯作者具有优先权，唯一通讯单位或唯一通讯作者具有次优先权；如果影响因子相同，单位/通讯作者数量也相同，将以引用（他引优先）次数确定推荐先后顺序；如果影响因子相同、引用次数也相同，发表时间相对更短的论文具有优先推荐权。</w:t>
      </w:r>
    </w:p>
    <w:p>
      <w:pPr>
        <w:spacing w:line="324" w:lineRule="auto"/>
        <w:ind w:firstLine="560" w:firstLineChars="200"/>
        <w:rPr>
          <w:rFonts w:ascii="仿宋" w:hAnsi="仿宋" w:eastAsia="仿宋" w:cs="仿宋"/>
          <w:color w:val="333333"/>
          <w:sz w:val="28"/>
          <w:szCs w:val="28"/>
          <w:shd w:val="clear" w:color="auto" w:fill="FFFFFF"/>
        </w:rPr>
      </w:pPr>
      <w:bookmarkStart w:id="1" w:name="_Hlk153611236"/>
      <w:r>
        <w:rPr>
          <w:rFonts w:hint="eastAsia" w:ascii="仿宋" w:hAnsi="仿宋" w:eastAsia="仿宋" w:cs="仿宋"/>
          <w:color w:val="333333"/>
          <w:sz w:val="28"/>
          <w:szCs w:val="28"/>
          <w:shd w:val="clear" w:color="auto" w:fill="FFFFFF"/>
        </w:rPr>
        <w:t>7</w:t>
      </w:r>
      <w:r>
        <w:rPr>
          <w:rFonts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rPr>
        <w:t>除第一条公认高水平期刊论文每人推荐篇数不限及第3条对物理学科发展具有高度支撑力度期刊每人可申报</w:t>
      </w:r>
      <w:r>
        <w:rPr>
          <w:rFonts w:ascii="仿宋" w:hAnsi="仿宋" w:eastAsia="仿宋" w:cs="仿宋"/>
          <w:color w:val="333333"/>
          <w:sz w:val="28"/>
          <w:szCs w:val="28"/>
          <w:shd w:val="clear" w:color="auto" w:fill="FFFFFF"/>
        </w:rPr>
        <w:t>2</w:t>
      </w:r>
      <w:r>
        <w:rPr>
          <w:rFonts w:hint="eastAsia" w:ascii="仿宋" w:hAnsi="仿宋" w:eastAsia="仿宋" w:cs="仿宋"/>
          <w:color w:val="333333"/>
          <w:sz w:val="28"/>
          <w:szCs w:val="28"/>
          <w:shd w:val="clear" w:color="auto" w:fill="FFFFFF"/>
        </w:rPr>
        <w:t>篇外，其他类型论文每人每年度在每个学科仅允许申报1篇论文。</w:t>
      </w:r>
    </w:p>
    <w:bookmarkEnd w:id="1"/>
    <w:p>
      <w:pPr>
        <w:spacing w:line="324" w:lineRule="auto"/>
        <w:ind w:firstLine="560" w:firstLineChars="200"/>
        <w:rPr>
          <w:rFonts w:ascii="仿宋" w:hAnsi="仿宋" w:eastAsia="仿宋" w:cs="仿宋"/>
          <w:color w:val="333333"/>
          <w:sz w:val="28"/>
          <w:szCs w:val="28"/>
          <w:shd w:val="clear" w:color="auto" w:fill="FFFFFF"/>
        </w:rPr>
      </w:pPr>
      <w:bookmarkStart w:id="2" w:name="_Hlk153611303"/>
      <w:r>
        <w:rPr>
          <w:rFonts w:ascii="仿宋" w:hAnsi="仿宋" w:eastAsia="仿宋" w:cs="仿宋"/>
          <w:color w:val="333333"/>
          <w:sz w:val="28"/>
          <w:szCs w:val="28"/>
          <w:shd w:val="clear" w:color="auto" w:fill="FFFFFF"/>
        </w:rPr>
        <w:t>8.</w:t>
      </w:r>
      <w:r>
        <w:rPr>
          <w:rFonts w:hint="eastAsia" w:ascii="仿宋" w:hAnsi="仿宋" w:eastAsia="仿宋" w:cs="仿宋"/>
          <w:color w:val="333333"/>
          <w:sz w:val="28"/>
          <w:szCs w:val="28"/>
          <w:shd w:val="clear" w:color="auto" w:fill="FFFFFF"/>
        </w:rPr>
        <w:t>如教师跨学科申报，申报论文须位于所申报学科的“大类及分区”。</w:t>
      </w:r>
    </w:p>
    <w:p>
      <w:pPr>
        <w:spacing w:line="324"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9</w:t>
      </w:r>
      <w:r>
        <w:rPr>
          <w:rFonts w:ascii="仿宋" w:hAnsi="仿宋" w:eastAsia="仿宋" w:cs="仿宋"/>
          <w:color w:val="333333"/>
          <w:sz w:val="28"/>
          <w:szCs w:val="28"/>
          <w:shd w:val="clear" w:color="auto" w:fill="FFFFFF"/>
        </w:rPr>
        <w:t>.本</w:t>
      </w:r>
      <w:r>
        <w:rPr>
          <w:rFonts w:hint="eastAsia" w:ascii="仿宋" w:hAnsi="仿宋" w:eastAsia="仿宋" w:cs="仿宋"/>
          <w:color w:val="333333"/>
          <w:sz w:val="28"/>
          <w:szCs w:val="28"/>
          <w:shd w:val="clear" w:color="auto" w:fill="FFFFFF"/>
        </w:rPr>
        <w:t>推荐规则</w:t>
      </w:r>
      <w:r>
        <w:rPr>
          <w:rFonts w:ascii="仿宋" w:hAnsi="仿宋" w:eastAsia="仿宋" w:cs="仿宋"/>
          <w:color w:val="333333"/>
          <w:sz w:val="28"/>
          <w:szCs w:val="28"/>
          <w:shd w:val="clear" w:color="auto" w:fill="FFFFFF"/>
        </w:rPr>
        <w:t>自发布之日起施行，由院</w:t>
      </w:r>
      <w:r>
        <w:rPr>
          <w:rFonts w:hint="eastAsia" w:ascii="仿宋" w:hAnsi="仿宋" w:eastAsia="仿宋" w:cs="仿宋"/>
          <w:color w:val="333333"/>
          <w:sz w:val="28"/>
          <w:szCs w:val="28"/>
          <w:shd w:val="clear" w:color="auto" w:fill="FFFFFF"/>
        </w:rPr>
        <w:t>科研办公室</w:t>
      </w:r>
      <w:r>
        <w:rPr>
          <w:rFonts w:ascii="仿宋" w:hAnsi="仿宋" w:eastAsia="仿宋" w:cs="仿宋"/>
          <w:color w:val="333333"/>
          <w:sz w:val="28"/>
          <w:szCs w:val="28"/>
          <w:shd w:val="clear" w:color="auto" w:fill="FFFFFF"/>
        </w:rPr>
        <w:t>负责解释。</w:t>
      </w:r>
    </w:p>
    <w:bookmarkEnd w:id="2"/>
    <w:p>
      <w:pPr>
        <w:spacing w:line="324" w:lineRule="auto"/>
        <w:rPr>
          <w:rFonts w:ascii="仿宋" w:hAnsi="仿宋" w:eastAsia="仿宋" w:cs="仿宋"/>
          <w:color w:val="333333"/>
          <w:sz w:val="28"/>
          <w:szCs w:val="28"/>
          <w:shd w:val="clear" w:color="auto" w:fill="FFFFFF"/>
        </w:rPr>
      </w:pP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                                  材料与物理学院</w:t>
      </w:r>
    </w:p>
    <w:p>
      <w:pPr>
        <w:spacing w:line="324"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                                     202</w:t>
      </w:r>
      <w:r>
        <w:rPr>
          <w:rFonts w:ascii="仿宋" w:hAnsi="仿宋" w:eastAsia="仿宋" w:cs="仿宋"/>
          <w:color w:val="333333"/>
          <w:sz w:val="28"/>
          <w:szCs w:val="28"/>
          <w:shd w:val="clear" w:color="auto" w:fill="FFFFFF"/>
        </w:rPr>
        <w:t>3</w:t>
      </w:r>
      <w:r>
        <w:rPr>
          <w:rFonts w:hint="eastAsia" w:ascii="仿宋" w:hAnsi="仿宋" w:eastAsia="仿宋" w:cs="仿宋"/>
          <w:color w:val="333333"/>
          <w:sz w:val="28"/>
          <w:szCs w:val="28"/>
          <w:shd w:val="clear" w:color="auto" w:fill="FFFFFF"/>
        </w:rPr>
        <w:t>.</w:t>
      </w:r>
      <w:r>
        <w:rPr>
          <w:rFonts w:ascii="仿宋" w:hAnsi="仿宋" w:eastAsia="仿宋" w:cs="仿宋"/>
          <w:color w:val="333333"/>
          <w:sz w:val="28"/>
          <w:szCs w:val="28"/>
          <w:shd w:val="clear" w:color="auto" w:fill="FFFFFF"/>
        </w:rPr>
        <w:t>12</w:t>
      </w:r>
      <w:r>
        <w:rPr>
          <w:rFonts w:hint="eastAsia" w:ascii="仿宋" w:hAnsi="仿宋" w:eastAsia="仿宋" w:cs="仿宋"/>
          <w:color w:val="333333"/>
          <w:sz w:val="28"/>
          <w:szCs w:val="28"/>
          <w:shd w:val="clear" w:color="auto" w:fill="FFFFFF"/>
        </w:rPr>
        <w:t>.1</w:t>
      </w:r>
      <w:r>
        <w:rPr>
          <w:rFonts w:ascii="仿宋" w:hAnsi="仿宋" w:eastAsia="仿宋" w:cs="仿宋"/>
          <w:color w:val="333333"/>
          <w:sz w:val="28"/>
          <w:szCs w:val="28"/>
          <w:shd w:val="clear" w:color="auto" w:fill="FFFFFF"/>
        </w:rPr>
        <w:t>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1MjBjNjlhOTc0ODI0Y2RjOGQ1NTk2MWI2MGJhMjQifQ=="/>
  </w:docVars>
  <w:rsids>
    <w:rsidRoot w:val="002129D4"/>
    <w:rsid w:val="00022524"/>
    <w:rsid w:val="00067A24"/>
    <w:rsid w:val="000D20E8"/>
    <w:rsid w:val="001546E4"/>
    <w:rsid w:val="001717CD"/>
    <w:rsid w:val="001C471C"/>
    <w:rsid w:val="001D7A63"/>
    <w:rsid w:val="001E1E06"/>
    <w:rsid w:val="001E501D"/>
    <w:rsid w:val="0020557C"/>
    <w:rsid w:val="002129D4"/>
    <w:rsid w:val="00247F83"/>
    <w:rsid w:val="00255882"/>
    <w:rsid w:val="0028311B"/>
    <w:rsid w:val="00287297"/>
    <w:rsid w:val="00292698"/>
    <w:rsid w:val="00293F69"/>
    <w:rsid w:val="002B31DA"/>
    <w:rsid w:val="002E5DD0"/>
    <w:rsid w:val="003241CF"/>
    <w:rsid w:val="00327C7E"/>
    <w:rsid w:val="00343B1A"/>
    <w:rsid w:val="00361D8B"/>
    <w:rsid w:val="003913E9"/>
    <w:rsid w:val="003914EE"/>
    <w:rsid w:val="0039479B"/>
    <w:rsid w:val="003A2A24"/>
    <w:rsid w:val="003B1677"/>
    <w:rsid w:val="003B542B"/>
    <w:rsid w:val="003C11FA"/>
    <w:rsid w:val="003D3132"/>
    <w:rsid w:val="004057C2"/>
    <w:rsid w:val="00410438"/>
    <w:rsid w:val="004C0257"/>
    <w:rsid w:val="004D35F1"/>
    <w:rsid w:val="004D64F7"/>
    <w:rsid w:val="004F27A1"/>
    <w:rsid w:val="00507B63"/>
    <w:rsid w:val="00546E24"/>
    <w:rsid w:val="005847AF"/>
    <w:rsid w:val="00585E09"/>
    <w:rsid w:val="005B319E"/>
    <w:rsid w:val="005E435A"/>
    <w:rsid w:val="00617A73"/>
    <w:rsid w:val="00617D83"/>
    <w:rsid w:val="006342BA"/>
    <w:rsid w:val="00654BCB"/>
    <w:rsid w:val="006653CB"/>
    <w:rsid w:val="0067569B"/>
    <w:rsid w:val="006901F5"/>
    <w:rsid w:val="006C5A85"/>
    <w:rsid w:val="006D34C4"/>
    <w:rsid w:val="006E3AD8"/>
    <w:rsid w:val="00764C4E"/>
    <w:rsid w:val="0078494B"/>
    <w:rsid w:val="007D2F5A"/>
    <w:rsid w:val="007E16A1"/>
    <w:rsid w:val="007F3AE6"/>
    <w:rsid w:val="007F6557"/>
    <w:rsid w:val="007F74D2"/>
    <w:rsid w:val="00823C8B"/>
    <w:rsid w:val="008E2870"/>
    <w:rsid w:val="009123EE"/>
    <w:rsid w:val="00915A85"/>
    <w:rsid w:val="00923FC5"/>
    <w:rsid w:val="00983C22"/>
    <w:rsid w:val="009B3C7C"/>
    <w:rsid w:val="009B3D02"/>
    <w:rsid w:val="00A27EC7"/>
    <w:rsid w:val="00A86E45"/>
    <w:rsid w:val="00A97D0B"/>
    <w:rsid w:val="00AC5063"/>
    <w:rsid w:val="00AE65AD"/>
    <w:rsid w:val="00AF1D8E"/>
    <w:rsid w:val="00B737AC"/>
    <w:rsid w:val="00B75B89"/>
    <w:rsid w:val="00BE2754"/>
    <w:rsid w:val="00C20D3C"/>
    <w:rsid w:val="00C638AD"/>
    <w:rsid w:val="00CC2C58"/>
    <w:rsid w:val="00CD17BA"/>
    <w:rsid w:val="00CE52F2"/>
    <w:rsid w:val="00D454FD"/>
    <w:rsid w:val="00D8461A"/>
    <w:rsid w:val="00DD3523"/>
    <w:rsid w:val="00DF746B"/>
    <w:rsid w:val="00E02E79"/>
    <w:rsid w:val="00E07BB7"/>
    <w:rsid w:val="00E57F89"/>
    <w:rsid w:val="00F0577E"/>
    <w:rsid w:val="00F205BC"/>
    <w:rsid w:val="00F21059"/>
    <w:rsid w:val="00F3416F"/>
    <w:rsid w:val="00F739D3"/>
    <w:rsid w:val="00F8430A"/>
    <w:rsid w:val="00F84EF2"/>
    <w:rsid w:val="00FA31FE"/>
    <w:rsid w:val="52933CB4"/>
    <w:rsid w:val="727418ED"/>
    <w:rsid w:val="7C1C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autoRedefine/>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文字 字符"/>
    <w:basedOn w:val="8"/>
    <w:link w:val="2"/>
    <w:semiHidden/>
    <w:qFormat/>
    <w:uiPriority w:val="99"/>
    <w:rPr>
      <w:kern w:val="2"/>
      <w:sz w:val="21"/>
      <w:szCs w:val="22"/>
    </w:rPr>
  </w:style>
  <w:style w:type="character" w:customStyle="1" w:styleId="14">
    <w:name w:val="批注主题 字符"/>
    <w:basedOn w:val="13"/>
    <w:link w:val="6"/>
    <w:semiHidden/>
    <w:qFormat/>
    <w:uiPriority w:val="99"/>
    <w:rPr>
      <w:b/>
      <w:bCs/>
      <w:kern w:val="2"/>
      <w:sz w:val="21"/>
      <w:szCs w:val="22"/>
    </w:rPr>
  </w:style>
  <w:style w:type="character" w:customStyle="1" w:styleId="15">
    <w:name w:val="批注框文本 字符"/>
    <w:basedOn w:val="8"/>
    <w:link w:val="3"/>
    <w:autoRedefine/>
    <w:semiHidden/>
    <w:uiPriority w:val="99"/>
    <w:rPr>
      <w:kern w:val="2"/>
      <w:sz w:val="18"/>
      <w:szCs w:val="18"/>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714A-D945-4D8C-A2DD-574B8959690E}">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1232</Characters>
  <Lines>10</Lines>
  <Paragraphs>2</Paragraphs>
  <TotalTime>960</TotalTime>
  <ScaleCrop>false</ScaleCrop>
  <LinksUpToDate>false</LinksUpToDate>
  <CharactersWithSpaces>1445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2023-12-19T05:15:00Z</dcterms:created>
  <dc:creator>治成</dc:creator>
  <cp:lastModifiedBy>杨笑宇</cp:lastModifiedBy>
  <dcterms:modified xsi:type="dcterms:W3CDTF">2024-05-07T07:23:35Z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24A5B0964F874282A69FBFA2FAEBF0D6_13</vt:lpwstr>
  </property>
</Properties>
</file>